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08" w:rsidRDefault="00995608" w:rsidP="00653D49">
      <w:pPr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</w:p>
    <w:p w:rsidR="007238D6" w:rsidRDefault="007238D6" w:rsidP="00EB5C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</w:p>
    <w:p w:rsidR="007238D6" w:rsidRDefault="007238D6" w:rsidP="00EB5C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</w:p>
    <w:p w:rsidR="007238D6" w:rsidRDefault="007238D6" w:rsidP="00EB5C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</w:p>
    <w:p w:rsidR="00EB5C8B" w:rsidRDefault="00EB5C8B" w:rsidP="00EB5C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  <w:r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  <w:t xml:space="preserve">INSTRUCCIONES </w:t>
      </w:r>
      <w:r>
        <w:rPr>
          <w:rFonts w:ascii="Verdana" w:hAnsi="Verdana"/>
          <w:b/>
          <w:sz w:val="28"/>
          <w:szCs w:val="28"/>
          <w:u w:val="single"/>
        </w:rPr>
        <w:t>PREVIAS</w:t>
      </w:r>
      <w:r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  <w:t xml:space="preserve"> AL PROCEDIMIENTO</w:t>
      </w:r>
    </w:p>
    <w:p w:rsidR="00653D49" w:rsidRDefault="00653D49" w:rsidP="00EB5C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bCs/>
          <w:sz w:val="28"/>
          <w:szCs w:val="28"/>
          <w:u w:val="single"/>
          <w:lang w:eastAsia="es-ES"/>
        </w:rPr>
      </w:pPr>
      <w:bookmarkStart w:id="0" w:name="_GoBack"/>
      <w:bookmarkEnd w:id="0"/>
    </w:p>
    <w:p w:rsidR="00EB5C8B" w:rsidRDefault="00EB5C8B" w:rsidP="00EB5C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1.- Si pertenece a alguna Mutua </w:t>
      </w:r>
      <w:r w:rsidR="007238D6">
        <w:rPr>
          <w:rFonts w:ascii="Verdana" w:hAnsi="Verdana"/>
        </w:rPr>
        <w:t xml:space="preserve">nosotros solicitaremos la autorización </w:t>
      </w:r>
      <w:r>
        <w:rPr>
          <w:rFonts w:ascii="Verdana" w:hAnsi="Verdana"/>
        </w:rPr>
        <w:t>para la fecha en que se le efectuará el procedimiento. Si la mutua no autorizase el procedimiento</w:t>
      </w:r>
      <w:r w:rsidR="0099560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238D6">
        <w:rPr>
          <w:rFonts w:ascii="Verdana" w:hAnsi="Verdana"/>
        </w:rPr>
        <w:t>le informaremos</w:t>
      </w:r>
      <w:r>
        <w:rPr>
          <w:rFonts w:ascii="Verdana" w:hAnsi="Verdana"/>
        </w:rPr>
        <w:t xml:space="preserve"> para poder anularlo o para informarle del coste privado de éste.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>2.- Debe presentarse</w:t>
      </w:r>
      <w:r w:rsidR="00995608">
        <w:rPr>
          <w:rFonts w:ascii="Verdana" w:hAnsi="Verdana"/>
        </w:rPr>
        <w:t xml:space="preserve"> en nuestro despacho (</w:t>
      </w:r>
      <w:r w:rsidR="00995608" w:rsidRPr="00995608">
        <w:rPr>
          <w:rFonts w:ascii="Verdana" w:hAnsi="Verdana"/>
          <w:b/>
        </w:rPr>
        <w:t>Despacho 10, Consultorios Marquesa</w:t>
      </w:r>
      <w:r w:rsidR="00995608">
        <w:rPr>
          <w:rFonts w:ascii="Verdana" w:hAnsi="Verdana"/>
        </w:rPr>
        <w:t xml:space="preserve">), </w:t>
      </w:r>
    </w:p>
    <w:p w:rsidR="00EB5C8B" w:rsidRDefault="00995608" w:rsidP="00EB5C8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El día            </w:t>
      </w:r>
      <w:r w:rsidR="00EB5C8B">
        <w:rPr>
          <w:rFonts w:ascii="Verdana" w:hAnsi="Verdana"/>
        </w:rPr>
        <w:t xml:space="preserve">     </w:t>
      </w:r>
      <w:r w:rsidR="00EB5C8B">
        <w:rPr>
          <w:rFonts w:ascii="Verdana" w:hAnsi="Verdana"/>
        </w:rPr>
        <w:tab/>
      </w:r>
      <w:r w:rsidR="00EB5C8B">
        <w:rPr>
          <w:rFonts w:ascii="Verdana" w:hAnsi="Verdana"/>
        </w:rPr>
        <w:tab/>
        <w:t xml:space="preserve">a las        </w:t>
      </w:r>
      <w:r>
        <w:rPr>
          <w:rFonts w:ascii="Verdana" w:hAnsi="Verdana"/>
        </w:rPr>
        <w:t xml:space="preserve">     </w:t>
      </w:r>
      <w:r w:rsidR="00EB5C8B">
        <w:rPr>
          <w:rFonts w:ascii="Verdana" w:hAnsi="Verdana"/>
        </w:rPr>
        <w:t xml:space="preserve"> </w:t>
      </w:r>
      <w:r w:rsidR="00EB5C8B">
        <w:rPr>
          <w:rFonts w:ascii="Verdana" w:hAnsi="Verdana"/>
        </w:rPr>
        <w:tab/>
      </w:r>
      <w:r w:rsidR="00EB5C8B">
        <w:rPr>
          <w:rFonts w:ascii="Verdana" w:hAnsi="Verdana"/>
        </w:rPr>
        <w:tab/>
        <w:t>horas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>3.- No tome alimentos sólidos desde 6 horas antes de su procedimiento ni líquidos desde 4 horas antes (si ha de tomar medicación</w:t>
      </w:r>
      <w:r w:rsidR="00685CBA">
        <w:rPr>
          <w:rFonts w:ascii="Verdana" w:hAnsi="Verdana"/>
        </w:rPr>
        <w:t>,</w:t>
      </w:r>
      <w:r>
        <w:rPr>
          <w:rFonts w:ascii="Verdana" w:hAnsi="Verdana"/>
        </w:rPr>
        <w:t xml:space="preserve"> puede hacerlo con una mínima cantidad de agua). 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>4.- Dúchese antes del procedimiento. Si lleva el pelo largo</w:t>
      </w:r>
      <w:r w:rsidR="00685CBA">
        <w:rPr>
          <w:rFonts w:ascii="Verdana" w:hAnsi="Verdana"/>
        </w:rPr>
        <w:t>,</w:t>
      </w:r>
      <w:r>
        <w:rPr>
          <w:rFonts w:ascii="Verdana" w:hAnsi="Verdana"/>
        </w:rPr>
        <w:t xml:space="preserve"> recójaselo. Venga vestido con ropa cómoda, sin joyas, maquillaje, ni esmalte de uñas. Debe venir acompañado (si es posible por una sola persona). No podrá conducir después de la intervención realizada. 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5.- Si usted está tomando algún tipo de </w:t>
      </w:r>
      <w:r>
        <w:rPr>
          <w:rFonts w:ascii="Verdana" w:hAnsi="Verdana"/>
          <w:b/>
        </w:rPr>
        <w:t>heparina o anticoagulante</w:t>
      </w:r>
      <w:r>
        <w:rPr>
          <w:rFonts w:ascii="Verdana" w:hAnsi="Verdana"/>
        </w:rPr>
        <w:t>: Aspirina y derivados del ácido acetil-salicílico (</w:t>
      </w:r>
      <w:proofErr w:type="spellStart"/>
      <w:r>
        <w:rPr>
          <w:rFonts w:ascii="Verdana" w:hAnsi="Verdana"/>
        </w:rPr>
        <w:t>Adiro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Tromalyt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Bioplak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Clopidogrel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Iscover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Plavix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Dipiridamol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Persatin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Ticlopidina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Tiklid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Trifusal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Disgren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Anpeval</w:t>
      </w:r>
      <w:proofErr w:type="spellEnd"/>
      <w:r>
        <w:rPr>
          <w:rFonts w:ascii="Verdana" w:hAnsi="Verdana"/>
        </w:rPr>
        <w:t>)</w:t>
      </w:r>
      <w:r w:rsidR="00685CBA">
        <w:rPr>
          <w:rFonts w:ascii="Verdana" w:hAnsi="Verdana"/>
        </w:rPr>
        <w:t>,</w:t>
      </w:r>
      <w:r>
        <w:rPr>
          <w:rFonts w:ascii="Verdana" w:hAnsi="Verdana"/>
        </w:rPr>
        <w:t xml:space="preserve"> por favor háganoslo saber ya que </w:t>
      </w:r>
      <w:r>
        <w:rPr>
          <w:rFonts w:ascii="Verdana" w:hAnsi="Verdana"/>
          <w:b/>
        </w:rPr>
        <w:t>debe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suspenderse 10 días antes del procedimiento</w:t>
      </w:r>
      <w:r>
        <w:rPr>
          <w:rFonts w:ascii="Verdana" w:hAnsi="Verdana"/>
        </w:rPr>
        <w:t>. El resto de su medicación habitual no debe suspenderla.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Los pacientes en tratamiento con Acenocumarol </w:t>
      </w:r>
      <w:r>
        <w:rPr>
          <w:rFonts w:ascii="Verdana" w:hAnsi="Verdana"/>
          <w:b/>
        </w:rPr>
        <w:t>(Sintrom)</w:t>
      </w:r>
      <w:r>
        <w:rPr>
          <w:rFonts w:ascii="Verdana" w:hAnsi="Verdana"/>
        </w:rPr>
        <w:t xml:space="preserve"> o Warfarina (</w:t>
      </w:r>
      <w:proofErr w:type="spellStart"/>
      <w:r>
        <w:rPr>
          <w:rFonts w:ascii="Verdana" w:hAnsi="Verdana"/>
          <w:b/>
        </w:rPr>
        <w:t>Aldocumar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Tedicumar</w:t>
      </w:r>
      <w:proofErr w:type="spellEnd"/>
      <w:r>
        <w:rPr>
          <w:rFonts w:ascii="Verdana" w:hAnsi="Verdana"/>
        </w:rPr>
        <w:t>), consulten a su médico el tratamiento para su suspensión.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Traiga consigo su inhalador para el asma en caso de padecerla. 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>7.- Comunique a su médico</w:t>
      </w:r>
      <w:r w:rsidR="00685CBA">
        <w:rPr>
          <w:rFonts w:ascii="Verdana" w:hAnsi="Verdana"/>
        </w:rPr>
        <w:t xml:space="preserve"> de Clínica del Dolor si</w:t>
      </w:r>
      <w:r>
        <w:rPr>
          <w:rFonts w:ascii="Verdana" w:hAnsi="Verdana"/>
        </w:rPr>
        <w:t xml:space="preserve">, antes del procedimiento, </w:t>
      </w:r>
      <w:r w:rsidR="00685CBA">
        <w:rPr>
          <w:rFonts w:ascii="Verdana" w:hAnsi="Verdana"/>
        </w:rPr>
        <w:t xml:space="preserve">aparece </w:t>
      </w:r>
      <w:r>
        <w:rPr>
          <w:rFonts w:ascii="Verdana" w:hAnsi="Verdana"/>
        </w:rPr>
        <w:t>alguno de estos trastornos: fiebre, dolor de garganta, infección, erupción cutánea, alguna herida cerca del lugar de la infiltración, dificultades para respirar o dolor en el pecho, al igual si existe alguna posibilidad de embarazo.</w:t>
      </w:r>
    </w:p>
    <w:p w:rsidR="00EB5C8B" w:rsidRDefault="00EB5C8B" w:rsidP="00EB5C8B">
      <w:pPr>
        <w:jc w:val="both"/>
        <w:rPr>
          <w:rFonts w:ascii="Verdana" w:hAnsi="Verdana"/>
        </w:rPr>
      </w:pPr>
      <w:r>
        <w:rPr>
          <w:rFonts w:ascii="Verdana" w:hAnsi="Verdana"/>
        </w:rPr>
        <w:t>Si usted tiene cualquier pregunta sobre el procedimiento, éste sería el momento para comentarlo con su médico</w:t>
      </w:r>
      <w:r w:rsidR="00685CBA">
        <w:rPr>
          <w:rFonts w:ascii="Verdana" w:hAnsi="Verdana"/>
        </w:rPr>
        <w:t>.</w:t>
      </w:r>
    </w:p>
    <w:p w:rsidR="00125C72" w:rsidRPr="00995608" w:rsidRDefault="00EB5C8B" w:rsidP="007238D6">
      <w:pPr>
        <w:jc w:val="both"/>
      </w:pPr>
      <w:r>
        <w:rPr>
          <w:rFonts w:ascii="Verdana" w:hAnsi="Verdana"/>
        </w:rPr>
        <w:t>Para cualquier aclaración</w:t>
      </w:r>
      <w:r w:rsidR="00685CBA">
        <w:rPr>
          <w:rFonts w:ascii="Verdana" w:hAnsi="Verdana"/>
        </w:rPr>
        <w:t>,</w:t>
      </w:r>
      <w:r>
        <w:rPr>
          <w:rFonts w:ascii="Verdana" w:hAnsi="Verdana"/>
        </w:rPr>
        <w:t xml:space="preserve"> no dude en ponerse en contacto con nosotros llamando al </w:t>
      </w:r>
      <w:r w:rsidR="00685CBA">
        <w:rPr>
          <w:rFonts w:ascii="Verdana" w:hAnsi="Verdana"/>
          <w:b/>
        </w:rPr>
        <w:t>93.595.29.10. –</w:t>
      </w:r>
      <w:r w:rsidR="00685CBA" w:rsidRPr="00685CBA">
        <w:rPr>
          <w:rFonts w:ascii="Verdana" w:hAnsi="Verdana"/>
          <w:b/>
        </w:rPr>
        <w:t xml:space="preserve"> </w:t>
      </w:r>
      <w:r w:rsidR="00685CBA">
        <w:rPr>
          <w:rFonts w:ascii="Verdana" w:hAnsi="Verdana"/>
          <w:b/>
        </w:rPr>
        <w:t>INSTITUTO ALIAGA -</w:t>
      </w:r>
      <w:r>
        <w:rPr>
          <w:rFonts w:ascii="Verdana" w:hAnsi="Verdana"/>
          <w:b/>
        </w:rPr>
        <w:t xml:space="preserve"> CLÍNICA DEL DOLOR TEKNON –</w:t>
      </w:r>
      <w:r>
        <w:rPr>
          <w:rFonts w:ascii="Verdana" w:hAnsi="Verdana"/>
        </w:rPr>
        <w:t xml:space="preserve">. </w:t>
      </w:r>
    </w:p>
    <w:sectPr w:rsidR="00125C72" w:rsidRPr="00995608" w:rsidSect="00792A3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FA" w:rsidRDefault="007D00FA" w:rsidP="00E414AD">
      <w:pPr>
        <w:spacing w:after="0" w:line="240" w:lineRule="auto"/>
      </w:pPr>
      <w:r>
        <w:separator/>
      </w:r>
    </w:p>
  </w:endnote>
  <w:endnote w:type="continuationSeparator" w:id="0">
    <w:p w:rsidR="007D00FA" w:rsidRDefault="007D00FA" w:rsidP="00E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FA" w:rsidRDefault="007D00FA" w:rsidP="00E414AD">
      <w:pPr>
        <w:spacing w:after="0" w:line="240" w:lineRule="auto"/>
      </w:pPr>
      <w:r>
        <w:separator/>
      </w:r>
    </w:p>
  </w:footnote>
  <w:footnote w:type="continuationSeparator" w:id="0">
    <w:p w:rsidR="007D00FA" w:rsidRDefault="007D00FA" w:rsidP="00E4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AD" w:rsidRDefault="007B287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B8B96" wp14:editId="7B86D520">
              <wp:simplePos x="0" y="0"/>
              <wp:positionH relativeFrom="column">
                <wp:posOffset>3887470</wp:posOffset>
              </wp:positionH>
              <wp:positionV relativeFrom="paragraph">
                <wp:posOffset>-60325</wp:posOffset>
              </wp:positionV>
              <wp:extent cx="2276475" cy="108585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CENTRO MÉDICO TEKNON</w:t>
                          </w:r>
                        </w:p>
                        <w:p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937B8E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Con</w:t>
                          </w:r>
                          <w:r w:rsidR="00F860F4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sultorios Marquesa – Despacho 10</w:t>
                          </w:r>
                        </w:p>
                        <w:p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937B8E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Marquesa de Vi</w:t>
                          </w:r>
                          <w:r w:rsidR="00F860F4"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 xml:space="preserve">lallonga, </w:t>
                          </w: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12</w:t>
                          </w:r>
                        </w:p>
                        <w:p w:rsidR="00E414AD" w:rsidRDefault="00E414AD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08017 Barcelona</w:t>
                          </w:r>
                        </w:p>
                        <w:p w:rsidR="00E414AD" w:rsidRPr="00DD7910" w:rsidRDefault="00F860F4" w:rsidP="00E414AD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:u w:val="single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Tel. 93 595 29 10</w:t>
                          </w:r>
                        </w:p>
                        <w:p w:rsidR="00E414AD" w:rsidRPr="00DD7910" w:rsidRDefault="007D00FA" w:rsidP="00E414AD">
                          <w:pPr>
                            <w:spacing w:after="0"/>
                            <w:rPr>
                              <w:rStyle w:val="Hipervnculo"/>
                              <w:rFonts w:ascii="Avenir" w:hAnsi="Avenir"/>
                              <w:color w:val="58CBE8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414AD" w:rsidRPr="00DD7910">
                              <w:rPr>
                                <w:rStyle w:val="Hipervnculo"/>
                                <w:rFonts w:ascii="Avenir" w:hAnsi="Avenir"/>
                                <w:color w:val="58CBE8"/>
                                <w:sz w:val="18"/>
                                <w:szCs w:val="18"/>
                              </w:rPr>
                              <w:t>secretaria.teknon@institutoaliaga.com</w:t>
                            </w:r>
                          </w:hyperlink>
                        </w:p>
                        <w:p w:rsidR="00E414AD" w:rsidRPr="00125C72" w:rsidRDefault="00E414AD" w:rsidP="007B2879">
                          <w:pPr>
                            <w:rPr>
                              <w:rFonts w:ascii="Avenir" w:hAnsi="Avenir"/>
                              <w:color w:val="59CBEF"/>
                              <w:sz w:val="18"/>
                              <w:szCs w:val="18"/>
                              <w14:textFill>
                                <w14:solidFill>
                                  <w14:srgbClr w14:val="59CBEF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</w:pPr>
                          <w:r w:rsidRPr="00B14B7B">
                            <w:rPr>
                              <w:rFonts w:ascii="Avenir" w:hAnsi="Avenir"/>
                              <w:color w:val="FF9E1B"/>
                              <w:sz w:val="18"/>
                              <w:szCs w:val="18"/>
                            </w:rPr>
                            <w:t>institutoaliaga.com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B8B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6.1pt;margin-top:-4.75pt;width:179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" strokecolor="white [3212]">
              <v:textbox>
                <w:txbxContent>
                  <w:p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CENTRO MÉDICO TEKNON</w:t>
                    </w:r>
                  </w:p>
                  <w:p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937B8E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Con</w:t>
                    </w:r>
                    <w:r w:rsidR="00F860F4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sultorios Marquesa – Despacho 10</w:t>
                    </w:r>
                  </w:p>
                  <w:p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937B8E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Marquesa de Vi</w:t>
                    </w:r>
                    <w:r w:rsidR="00F860F4"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 xml:space="preserve">lallonga, </w:t>
                    </w: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12</w:t>
                    </w:r>
                  </w:p>
                  <w:p w:rsidR="00E414AD" w:rsidRDefault="00E414AD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08017 Barcelona</w:t>
                    </w:r>
                  </w:p>
                  <w:p w:rsidR="00E414AD" w:rsidRPr="00DD7910" w:rsidRDefault="00F860F4" w:rsidP="00E414AD">
                    <w:pPr>
                      <w:spacing w:after="0" w:line="240" w:lineRule="auto"/>
                      <w:rPr>
                        <w:rFonts w:ascii="Avenir" w:hAnsi="Avenir"/>
                        <w:color w:val="59CBEF"/>
                        <w:sz w:val="18"/>
                        <w:szCs w:val="18"/>
                        <w:u w:val="single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Tel. 93 595 29 10</w:t>
                    </w:r>
                  </w:p>
                  <w:p w:rsidR="00E414AD" w:rsidRPr="00DD7910" w:rsidRDefault="007D00FA" w:rsidP="00E414AD">
                    <w:pPr>
                      <w:spacing w:after="0"/>
                      <w:rPr>
                        <w:rStyle w:val="Hipervnculo"/>
                        <w:rFonts w:ascii="Avenir" w:hAnsi="Avenir"/>
                        <w:color w:val="58CBE8"/>
                        <w:sz w:val="18"/>
                        <w:szCs w:val="18"/>
                      </w:rPr>
                    </w:pPr>
                    <w:hyperlink r:id="rId2" w:history="1">
                      <w:r w:rsidR="00E414AD" w:rsidRPr="00DD7910">
                        <w:rPr>
                          <w:rStyle w:val="Hipervnculo"/>
                          <w:rFonts w:ascii="Avenir" w:hAnsi="Avenir"/>
                          <w:color w:val="58CBE8"/>
                          <w:sz w:val="18"/>
                          <w:szCs w:val="18"/>
                        </w:rPr>
                        <w:t>secretaria.teknon@institutoaliaga.com</w:t>
                      </w:r>
                    </w:hyperlink>
                  </w:p>
                  <w:p w:rsidR="00E414AD" w:rsidRPr="00125C72" w:rsidRDefault="00E414AD" w:rsidP="007B2879">
                    <w:pPr>
                      <w:rPr>
                        <w:rFonts w:ascii="Avenir" w:hAnsi="Avenir"/>
                        <w:color w:val="59CBEF"/>
                        <w:sz w:val="18"/>
                        <w:szCs w:val="18"/>
                        <w14:textFill>
                          <w14:solidFill>
                            <w14:srgbClr w14:val="59CBEF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</w:pPr>
                    <w:r w:rsidRPr="00B14B7B">
                      <w:rPr>
                        <w:rFonts w:ascii="Avenir" w:hAnsi="Avenir"/>
                        <w:color w:val="FF9E1B"/>
                        <w:sz w:val="18"/>
                        <w:szCs w:val="18"/>
                      </w:rPr>
                      <w:t>institutoaliaga.com</w:t>
                    </w:r>
                  </w:p>
                </w:txbxContent>
              </v:textbox>
            </v:shape>
          </w:pict>
        </mc:Fallback>
      </mc:AlternateContent>
    </w:r>
    <w:r w:rsidR="00E414AD">
      <w:rPr>
        <w:noProof/>
        <w:lang w:eastAsia="es-ES"/>
      </w:rPr>
      <w:drawing>
        <wp:inline distT="0" distB="0" distL="0" distR="0" wp14:anchorId="0B84A109" wp14:editId="7A2282B3">
          <wp:extent cx="1371600" cy="903726"/>
          <wp:effectExtent l="0" t="0" r="0" b="0"/>
          <wp:docPr id="9" name="Imagen 9" descr="C:\Users\UCA\Desktop\MKT\MANUAL INSTITUTO ALIAGA\INSTITUTO ALIAGA\logo completo instituto ali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A\Desktop\MKT\MANUAL INSTITUTO ALIAGA\INSTITUTO ALIAGA\logo completo instituto alia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337" cy="90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4AD">
      <w:ptab w:relativeTo="margin" w:alignment="center" w:leader="none"/>
    </w:r>
    <w:r w:rsidR="00E414AD">
      <w:tab/>
    </w:r>
    <w:r w:rsidR="00E414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B1C"/>
    <w:multiLevelType w:val="hybridMultilevel"/>
    <w:tmpl w:val="B6D0EB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E3"/>
    <w:rsid w:val="00007772"/>
    <w:rsid w:val="00057199"/>
    <w:rsid w:val="00125C72"/>
    <w:rsid w:val="00181445"/>
    <w:rsid w:val="001936D5"/>
    <w:rsid w:val="001C126B"/>
    <w:rsid w:val="00411F69"/>
    <w:rsid w:val="00492BAE"/>
    <w:rsid w:val="004B5B6A"/>
    <w:rsid w:val="00653D49"/>
    <w:rsid w:val="00656C74"/>
    <w:rsid w:val="0068536F"/>
    <w:rsid w:val="00685CBA"/>
    <w:rsid w:val="006F7FD8"/>
    <w:rsid w:val="007238D6"/>
    <w:rsid w:val="00792A33"/>
    <w:rsid w:val="00796624"/>
    <w:rsid w:val="007B2879"/>
    <w:rsid w:val="007D00FA"/>
    <w:rsid w:val="00995608"/>
    <w:rsid w:val="00A04DD0"/>
    <w:rsid w:val="00C15440"/>
    <w:rsid w:val="00C276C8"/>
    <w:rsid w:val="00C27D52"/>
    <w:rsid w:val="00C875B8"/>
    <w:rsid w:val="00CD6584"/>
    <w:rsid w:val="00D1148C"/>
    <w:rsid w:val="00DD7910"/>
    <w:rsid w:val="00E414AD"/>
    <w:rsid w:val="00EB5C8B"/>
    <w:rsid w:val="00F140E3"/>
    <w:rsid w:val="00F860F4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65C4"/>
  <w15:docId w15:val="{1C8C90B4-7644-43F6-8DDA-F83648A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5C7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5C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4AD"/>
  </w:style>
  <w:style w:type="paragraph" w:styleId="Piedepgina">
    <w:name w:val="footer"/>
    <w:basedOn w:val="Normal"/>
    <w:link w:val="PiedepginaCar"/>
    <w:uiPriority w:val="99"/>
    <w:unhideWhenUsed/>
    <w:rsid w:val="00E4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retaria.teknon@institutoaliaga.com" TargetMode="External"/><Relationship Id="rId1" Type="http://schemas.openxmlformats.org/officeDocument/2006/relationships/hyperlink" Target="mailto:secretaria.teknon@institutoalia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ECAB-4D0D-4CCA-8CB3-BFE82B80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Joanna Budniak</cp:lastModifiedBy>
  <cp:revision>5</cp:revision>
  <cp:lastPrinted>2020-02-17T11:28:00Z</cp:lastPrinted>
  <dcterms:created xsi:type="dcterms:W3CDTF">2018-02-13T17:12:00Z</dcterms:created>
  <dcterms:modified xsi:type="dcterms:W3CDTF">2020-03-14T18:00:00Z</dcterms:modified>
</cp:coreProperties>
</file>